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00D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高二语文《过秦论》导学训案</w:t>
      </w:r>
    </w:p>
    <w:p w14:paraId="37458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360" w:firstLineChars="100"/>
        <w:jc w:val="center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（第二课时）</w:t>
      </w:r>
    </w:p>
    <w:p w14:paraId="2D137BD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班级__________ 姓名__________  小组__________ </w:t>
      </w:r>
    </w:p>
    <w:p w14:paraId="6C0C34D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学习目标</w:t>
      </w:r>
    </w:p>
    <w:p w14:paraId="2379A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_GB2312" w:cs="仿宋"/>
          <w:sz w:val="32"/>
          <w:szCs w:val="28"/>
          <w:lang w:eastAsia="zh-CN"/>
        </w:rPr>
        <w:t>学习、掌握课文中的重点字、词、句式。</w:t>
      </w:r>
    </w:p>
    <w:p w14:paraId="6D279D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_GB2312" w:cs="仿宋"/>
          <w:sz w:val="32"/>
          <w:szCs w:val="28"/>
          <w:lang w:eastAsia="zh-CN"/>
        </w:rPr>
        <w:t>学习本文先叙后议的结构方式以及对比手法的运用。</w:t>
      </w:r>
    </w:p>
    <w:p w14:paraId="6E0D3E7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320" w:firstLineChars="1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重点、难点</w:t>
      </w:r>
    </w:p>
    <w:p w14:paraId="03CF24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1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_GB2312" w:cs="仿宋"/>
          <w:sz w:val="32"/>
          <w:szCs w:val="28"/>
          <w:lang w:eastAsia="zh-CN"/>
        </w:rPr>
        <w:t>本文先叙后议的结构方式以及对比手法的运用。</w:t>
      </w:r>
    </w:p>
    <w:p w14:paraId="73254CB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320" w:firstLineChars="1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导学流程</w:t>
      </w:r>
    </w:p>
    <w:p w14:paraId="48045DD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1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未知探究：</w:t>
      </w:r>
    </w:p>
    <w:p w14:paraId="7C6757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（</w:t>
      </w: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  <w:lang w:val="en-US" w:eastAsia="zh-CN"/>
        </w:rPr>
        <w:t>三</w:t>
      </w: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）秦国的极盛</w:t>
      </w:r>
    </w:p>
    <w:p w14:paraId="6F578F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学习第三段</w:t>
      </w:r>
    </w:p>
    <w:p w14:paraId="6A33A5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及至始皇，奋六世之余烈，振长策而御宇内，吞二周而亡诸侯，履至尊而制六合，执敲扑而鞭笞天下，威振四海。南取百越之地，以为桂林、象郡；百越之君，俯首系颈，委命下吏。乃使蒙恬北筑长城而守藩篱，却匈奴七百余里；胡人不敢南下而牧马，士不敢弯弓而报怨。于是废先王之道，焚百家之言，以愚黔首；隳名城，杀豪杰；收天下之兵，聚之咸阳，销锋镝，铸以为金人十二，以弱天下之民.然后践华为城，因河为池，据亿丈之城，临不测之渊以为固。良将劲弩守要害之处，信臣精卒陈利兵而谁何。天下已定，始皇之心，自以为关中之固，金城千里，子孙帝王万世之业也。</w:t>
      </w:r>
    </w:p>
    <w:p w14:paraId="2C8A66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问题探究</w:t>
      </w: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  <w:lang w:eastAsia="zh-CN"/>
        </w:rPr>
        <w:t>：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  <w:t>本段讲了秦始皇“攻”天下的业绩和“守”天下的措施。试指出文中哪些文字是写其“攻”的？哪些文字是写其“守”的？</w:t>
      </w:r>
    </w:p>
    <w:p w14:paraId="355A41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第三段有没有写秦之过？说说秦始皇的过错是什么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  <w:t>？</w:t>
      </w:r>
    </w:p>
    <w:p w14:paraId="1595F6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（</w:t>
      </w: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  <w:lang w:val="en-US" w:eastAsia="zh-CN"/>
        </w:rPr>
        <w:t>四</w:t>
      </w: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）秦国的覆灭</w:t>
      </w:r>
    </w:p>
    <w:p w14:paraId="3F03F4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学习第四段</w:t>
      </w:r>
    </w:p>
    <w:p w14:paraId="442075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始皇既没，余威震于殊俗。然陈涉瓮牖绳枢之子，氓隶之人，而迁徙之徒也；才能不及中人，非有仲尼、墨翟之贤，陶朱、猗顿之富；蹑足行伍之间，而倔起阡陌之中。率疲弊之卒，将数百之众，转而攻秦；斩木为兵，揭竿为旗，天下云集响应，赢粮而景从。山东豪俊遂并起而亡秦族矣。</w:t>
      </w:r>
    </w:p>
    <w:p w14:paraId="22924D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问题探究</w:t>
      </w: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  <w:lang w:eastAsia="zh-CN"/>
        </w:rPr>
        <w:t>：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第四段写了强秦的灭亡。“陈涉起义，天下响应”有哪几方面的铺叙呢？选文中语句回答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  <w:lang w:eastAsia="zh-CN"/>
        </w:rPr>
        <w:t>。</w:t>
      </w:r>
    </w:p>
    <w:p w14:paraId="5110B6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作者写陈涉，突出了陈涉的出身卑微、才能平庸，兵力弱，武器低劣，如此之人，如此之众竟然一呼百应，仿佛不费吹灰之力就“亡秦族”，目的是什么？</w:t>
      </w:r>
    </w:p>
    <w:p w14:paraId="72D1C3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  <w:lang w:val="en-US" w:eastAsia="zh-CN"/>
        </w:rPr>
        <w:t>五</w:t>
      </w: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）秦国之教训</w:t>
      </w:r>
    </w:p>
    <w:p w14:paraId="4765A4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学习第五段</w:t>
      </w:r>
    </w:p>
    <w:p w14:paraId="65E5C3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且夫天下非小弱也，雍州之地，崤函之固，自若也。陈涉之位，非尊于齐、楚、燕、赵、韩、魏、宋、卫、中山之君也；锄櫌棘矜，非铦于钩戟长铩也。谪戍之众，非抗于九国之师也；深谋远虑，行军用兵之道，非及向时之士也。然而成败异变，功业相反，何也？试使山东之国与陈涉度长絜大，比权量力，则不可同年而语矣。然秦以区区之地，致万乘之势，序八州而朝同列，百有余年矣；然后以六合为家，崤函为宫；一夫作难而七庙隳，身死人手，为天下笑者，何也?仁义不施而攻守之势异也。</w:t>
      </w:r>
    </w:p>
    <w:p w14:paraId="488F8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</w:pP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</w:rPr>
        <w:t>问题探究</w:t>
      </w:r>
      <w:r>
        <w:rPr>
          <w:rFonts w:hint="eastAsia" w:ascii="仿宋" w:hAnsi="仿宋" w:eastAsia="仿宋_GB2312" w:cs="仿宋"/>
          <w:b/>
          <w:bCs/>
          <w:color w:val="0C0C0C"/>
          <w:sz w:val="32"/>
          <w:szCs w:val="28"/>
          <w:lang w:eastAsia="zh-CN"/>
        </w:rPr>
        <w:t>：</w:t>
      </w: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这一段主要突出的艺术特色是什么?</w:t>
      </w:r>
    </w:p>
    <w:p w14:paraId="50DCEC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_GB2312" w:cs="仿宋"/>
          <w:b w:val="0"/>
          <w:bCs w:val="0"/>
          <w:color w:val="0C0C0C"/>
          <w:sz w:val="32"/>
          <w:szCs w:val="28"/>
          <w:lang w:val="en-US" w:eastAsia="zh-CN"/>
        </w:rPr>
      </w:pPr>
      <w:r>
        <w:rPr>
          <w:rFonts w:hint="eastAsia" w:ascii="仿宋" w:hAnsi="仿宋" w:eastAsia="仿宋_GB2312" w:cs="仿宋"/>
          <w:b w:val="0"/>
          <w:bCs w:val="0"/>
          <w:color w:val="0C0C0C"/>
          <w:sz w:val="32"/>
          <w:szCs w:val="28"/>
        </w:rPr>
        <w:t>思考：作者论述秦王朝的灭亡，原因是什么？本段内容与全文有什么关系？</w:t>
      </w:r>
    </w:p>
    <w:p w14:paraId="020B062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1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当堂检测：</w:t>
      </w:r>
    </w:p>
    <w:p w14:paraId="5110AD60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Times New Roman" w:eastAsia="仿宋_GB2312"/>
          <w:b/>
          <w:sz w:val="32"/>
        </w:rPr>
        <w:t>1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下列句子中含有通假字的一项是(　　)</w:t>
      </w:r>
    </w:p>
    <w:p w14:paraId="4426EE10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A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赢粮而景从</w:t>
      </w:r>
    </w:p>
    <w:p w14:paraId="7E7D9CA8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B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追亡逐北</w:t>
      </w:r>
    </w:p>
    <w:p w14:paraId="1AC834F6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C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信臣精卒陈利兵而谁何</w:t>
      </w:r>
    </w:p>
    <w:p w14:paraId="53506463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D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皆明智而忠信,宽厚而爱人</w:t>
      </w:r>
    </w:p>
    <w:p w14:paraId="467002B2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Times New Roman" w:eastAsia="仿宋_GB2312"/>
          <w:b/>
          <w:sz w:val="32"/>
        </w:rPr>
        <w:t>2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下列各句中,加点词的古今意义相同的一项是(　　)</w:t>
      </w:r>
    </w:p>
    <w:p w14:paraId="176ADDD5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A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  <w:em w:val="dot"/>
        </w:rPr>
        <w:t>以致</w:t>
      </w:r>
      <w:r>
        <w:rPr>
          <w:rFonts w:ascii="Times New Roman" w:hAnsi="宋体" w:eastAsia="仿宋_GB2312"/>
          <w:sz w:val="32"/>
        </w:rPr>
        <w:t>天下之士</w:t>
      </w:r>
    </w:p>
    <w:p w14:paraId="6F165230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B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  <w:em w:val="dot"/>
        </w:rPr>
        <w:t>山东</w:t>
      </w:r>
      <w:r>
        <w:rPr>
          <w:rFonts w:ascii="Times New Roman" w:hAnsi="宋体" w:eastAsia="仿宋_GB2312"/>
          <w:sz w:val="32"/>
        </w:rPr>
        <w:t>豪俊遂并起而亡秦族矣</w:t>
      </w:r>
    </w:p>
    <w:p w14:paraId="18420167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C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秦有</w:t>
      </w:r>
      <w:r>
        <w:rPr>
          <w:rFonts w:ascii="Times New Roman" w:hAnsi="宋体" w:eastAsia="仿宋_GB2312"/>
          <w:sz w:val="32"/>
          <w:em w:val="dot"/>
        </w:rPr>
        <w:t>余力</w:t>
      </w:r>
      <w:r>
        <w:rPr>
          <w:rFonts w:ascii="Times New Roman" w:hAnsi="宋体" w:eastAsia="仿宋_GB2312"/>
          <w:sz w:val="32"/>
        </w:rPr>
        <w:t>而制其弊</w:t>
      </w:r>
    </w:p>
    <w:p w14:paraId="1D1D1C95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D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不</w:t>
      </w:r>
      <w:r>
        <w:rPr>
          <w:rFonts w:ascii="Times New Roman" w:hAnsi="宋体" w:eastAsia="仿宋_GB2312"/>
          <w:sz w:val="32"/>
          <w:em w:val="dot"/>
        </w:rPr>
        <w:t>爱</w:t>
      </w:r>
      <w:r>
        <w:rPr>
          <w:rFonts w:ascii="Times New Roman" w:hAnsi="宋体" w:eastAsia="仿宋_GB2312"/>
          <w:sz w:val="32"/>
        </w:rPr>
        <w:t>珍器重宝肥饶之地</w:t>
      </w:r>
    </w:p>
    <w:p w14:paraId="5F3FBEF1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Times New Roman" w:eastAsia="仿宋_GB2312"/>
          <w:b/>
          <w:sz w:val="32"/>
        </w:rPr>
        <w:t>3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对下列句中加点词的解释,不正确的一项是(　　)</w:t>
      </w:r>
    </w:p>
    <w:p w14:paraId="62DE3AD9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A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  <w:em w:val="dot"/>
        </w:rPr>
        <w:t>务</w:t>
      </w:r>
      <w:r>
        <w:rPr>
          <w:rFonts w:ascii="Times New Roman" w:hAnsi="宋体" w:eastAsia="仿宋_GB2312"/>
          <w:sz w:val="32"/>
        </w:rPr>
        <w:t>耕织,修守战之具　　　务:致力,从事</w:t>
      </w:r>
    </w:p>
    <w:p w14:paraId="692ED749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B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惠文、武、昭襄</w:t>
      </w:r>
      <w:r>
        <w:rPr>
          <w:rFonts w:ascii="Times New Roman" w:hAnsi="宋体" w:eastAsia="仿宋_GB2312"/>
          <w:sz w:val="32"/>
          <w:em w:val="dot"/>
        </w:rPr>
        <w:t>蒙</w:t>
      </w:r>
      <w:r>
        <w:rPr>
          <w:rFonts w:ascii="Times New Roman" w:hAnsi="宋体" w:eastAsia="仿宋_GB2312"/>
          <w:sz w:val="32"/>
        </w:rPr>
        <w:t>故业</w:t>
      </w:r>
      <w:r>
        <w:rPr>
          <w:rFonts w:ascii="Times New Roman" w:hAnsi="宋体" w:eastAsia="仿宋_GB2312"/>
          <w:sz w:val="32"/>
        </w:rPr>
        <w:tab/>
      </w:r>
      <w:r>
        <w:rPr>
          <w:rFonts w:ascii="Times New Roman" w:hAnsi="宋体" w:eastAsia="仿宋_GB2312"/>
          <w:sz w:val="32"/>
        </w:rPr>
        <w:t>蒙:遭受</w:t>
      </w:r>
    </w:p>
    <w:p w14:paraId="793A6C00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C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以</w:t>
      </w:r>
      <w:r>
        <w:rPr>
          <w:rFonts w:ascii="Times New Roman" w:hAnsi="宋体" w:eastAsia="仿宋_GB2312"/>
          <w:sz w:val="32"/>
          <w:em w:val="dot"/>
        </w:rPr>
        <w:t>致</w:t>
      </w:r>
      <w:r>
        <w:rPr>
          <w:rFonts w:ascii="Times New Roman" w:hAnsi="宋体" w:eastAsia="仿宋_GB2312"/>
          <w:sz w:val="32"/>
        </w:rPr>
        <w:t>天下之士</w:t>
      </w:r>
      <w:r>
        <w:rPr>
          <w:rFonts w:ascii="Times New Roman" w:hAnsi="宋体" w:eastAsia="仿宋_GB2312"/>
          <w:sz w:val="32"/>
        </w:rPr>
        <w:tab/>
      </w:r>
      <w:r>
        <w:rPr>
          <w:rFonts w:ascii="Times New Roman" w:hAnsi="宋体" w:eastAsia="仿宋_GB2312"/>
          <w:sz w:val="32"/>
        </w:rPr>
        <w:t>致:招致,招引</w:t>
      </w:r>
    </w:p>
    <w:p w14:paraId="61820EA2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D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  <w:em w:val="dot"/>
        </w:rPr>
        <w:t>振</w:t>
      </w:r>
      <w:r>
        <w:rPr>
          <w:rFonts w:ascii="Times New Roman" w:hAnsi="宋体" w:eastAsia="仿宋_GB2312"/>
          <w:sz w:val="32"/>
        </w:rPr>
        <w:t>长策而御宇内</w:t>
      </w:r>
      <w:r>
        <w:rPr>
          <w:rFonts w:ascii="Times New Roman" w:hAnsi="宋体" w:eastAsia="仿宋_GB2312"/>
          <w:sz w:val="32"/>
        </w:rPr>
        <w:tab/>
      </w:r>
      <w:r>
        <w:rPr>
          <w:rFonts w:ascii="Times New Roman" w:hAnsi="宋体" w:eastAsia="仿宋_GB2312"/>
          <w:sz w:val="32"/>
        </w:rPr>
        <w:t>振:举起</w:t>
      </w:r>
    </w:p>
    <w:p w14:paraId="1B0FEB79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Times New Roman" w:eastAsia="仿宋_GB2312"/>
          <w:b/>
          <w:sz w:val="32"/>
        </w:rPr>
        <w:t>4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下列对加点词的用法分类正确的一项是(　　)</w:t>
      </w:r>
    </w:p>
    <w:p w14:paraId="095444F2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hint="eastAsia" w:ascii="宋体" w:hAnsi="宋体" w:eastAsia="仿宋_GB2312" w:cs="宋体"/>
          <w:sz w:val="32"/>
        </w:rPr>
        <w:t>①</w:t>
      </w:r>
      <w:r>
        <w:rPr>
          <w:rFonts w:ascii="Times New Roman" w:hAnsi="宋体" w:eastAsia="仿宋_GB2312"/>
          <w:sz w:val="32"/>
        </w:rPr>
        <w:t>天下</w:t>
      </w:r>
      <w:r>
        <w:rPr>
          <w:rFonts w:ascii="Times New Roman" w:hAnsi="宋体" w:eastAsia="仿宋_GB2312"/>
          <w:sz w:val="32"/>
          <w:em w:val="dot"/>
        </w:rPr>
        <w:t>云</w:t>
      </w:r>
      <w:r>
        <w:rPr>
          <w:rFonts w:ascii="Times New Roman" w:hAnsi="宋体" w:eastAsia="仿宋_GB2312"/>
          <w:sz w:val="32"/>
        </w:rPr>
        <w:t>集</w:t>
      </w:r>
      <w:r>
        <w:rPr>
          <w:rFonts w:ascii="Times New Roman" w:hAnsi="宋体" w:eastAsia="仿宋_GB2312"/>
          <w:sz w:val="32"/>
          <w:em w:val="dot"/>
        </w:rPr>
        <w:t>响</w:t>
      </w:r>
      <w:r>
        <w:rPr>
          <w:rFonts w:ascii="Times New Roman" w:hAnsi="宋体" w:eastAsia="仿宋_GB2312"/>
          <w:sz w:val="32"/>
        </w:rPr>
        <w:t>应　</w:t>
      </w:r>
      <w:r>
        <w:rPr>
          <w:rFonts w:hint="eastAsia" w:ascii="宋体" w:hAnsi="宋体" w:eastAsia="仿宋_GB2312" w:cs="宋体"/>
          <w:sz w:val="32"/>
        </w:rPr>
        <w:t>②</w:t>
      </w:r>
      <w:r>
        <w:rPr>
          <w:rFonts w:ascii="Times New Roman" w:hAnsi="宋体" w:eastAsia="仿宋_GB2312"/>
          <w:sz w:val="32"/>
        </w:rPr>
        <w:t>外连衡而</w:t>
      </w:r>
      <w:r>
        <w:rPr>
          <w:rFonts w:ascii="Times New Roman" w:hAnsi="宋体" w:eastAsia="仿宋_GB2312"/>
          <w:sz w:val="32"/>
          <w:em w:val="dot"/>
        </w:rPr>
        <w:t>斗</w:t>
      </w:r>
      <w:r>
        <w:rPr>
          <w:rFonts w:ascii="Times New Roman" w:hAnsi="宋体" w:eastAsia="仿宋_GB2312"/>
          <w:sz w:val="32"/>
        </w:rPr>
        <w:t>诸侯　</w:t>
      </w:r>
      <w:r>
        <w:rPr>
          <w:rFonts w:hint="eastAsia" w:ascii="宋体" w:hAnsi="宋体" w:eastAsia="仿宋_GB2312" w:cs="宋体"/>
          <w:sz w:val="32"/>
        </w:rPr>
        <w:t>③</w:t>
      </w:r>
      <w:r>
        <w:rPr>
          <w:rFonts w:ascii="Times New Roman" w:hAnsi="宋体" w:eastAsia="仿宋_GB2312"/>
          <w:sz w:val="32"/>
          <w:em w:val="dot"/>
        </w:rPr>
        <w:t>却</w:t>
      </w:r>
      <w:r>
        <w:rPr>
          <w:rFonts w:ascii="Times New Roman" w:hAnsi="宋体" w:eastAsia="仿宋_GB2312"/>
          <w:sz w:val="32"/>
        </w:rPr>
        <w:t>匈奴七百余里　</w:t>
      </w:r>
      <w:r>
        <w:rPr>
          <w:rFonts w:hint="eastAsia" w:ascii="宋体" w:hAnsi="宋体" w:eastAsia="仿宋_GB2312" w:cs="宋体"/>
          <w:sz w:val="32"/>
        </w:rPr>
        <w:t>④</w:t>
      </w:r>
      <w:r>
        <w:rPr>
          <w:rFonts w:ascii="Times New Roman" w:hAnsi="宋体" w:eastAsia="仿宋_GB2312"/>
          <w:sz w:val="32"/>
        </w:rPr>
        <w:t>序八州而</w:t>
      </w:r>
      <w:r>
        <w:rPr>
          <w:rFonts w:ascii="Times New Roman" w:hAnsi="宋体" w:eastAsia="仿宋_GB2312"/>
          <w:sz w:val="32"/>
          <w:em w:val="dot"/>
        </w:rPr>
        <w:t>朝</w:t>
      </w:r>
      <w:r>
        <w:rPr>
          <w:rFonts w:ascii="Times New Roman" w:hAnsi="宋体" w:eastAsia="仿宋_GB2312"/>
          <w:sz w:val="32"/>
        </w:rPr>
        <w:t>同列　</w:t>
      </w:r>
      <w:r>
        <w:rPr>
          <w:rFonts w:hint="eastAsia" w:ascii="宋体" w:hAnsi="宋体" w:eastAsia="仿宋_GB2312" w:cs="宋体"/>
          <w:sz w:val="32"/>
        </w:rPr>
        <w:t>⑤</w:t>
      </w:r>
      <w:r>
        <w:rPr>
          <w:rFonts w:ascii="Times New Roman" w:hAnsi="宋体" w:eastAsia="仿宋_GB2312"/>
          <w:sz w:val="32"/>
          <w:em w:val="dot"/>
        </w:rPr>
        <w:t>囊</w:t>
      </w:r>
      <w:r>
        <w:rPr>
          <w:rFonts w:ascii="Times New Roman" w:hAnsi="宋体" w:eastAsia="仿宋_GB2312"/>
          <w:sz w:val="32"/>
        </w:rPr>
        <w:t xml:space="preserve">括四海　　 　　　　　 　　　　　 </w:t>
      </w:r>
    </w:p>
    <w:p w14:paraId="2287A493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A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hint="eastAsia" w:ascii="宋体" w:hAnsi="宋体" w:eastAsia="仿宋_GB2312" w:cs="宋体"/>
          <w:sz w:val="32"/>
        </w:rPr>
        <w:t>①②③</w:t>
      </w:r>
      <w:r>
        <w:rPr>
          <w:rFonts w:ascii="Times New Roman" w:hAnsi="宋体" w:eastAsia="仿宋_GB2312"/>
          <w:sz w:val="32"/>
        </w:rPr>
        <w:t>/</w:t>
      </w:r>
      <w:r>
        <w:rPr>
          <w:rFonts w:hint="eastAsia" w:ascii="宋体" w:hAnsi="宋体" w:eastAsia="仿宋_GB2312" w:cs="宋体"/>
          <w:sz w:val="32"/>
        </w:rPr>
        <w:t>④⑤</w:t>
      </w:r>
      <w:r>
        <w:rPr>
          <w:rFonts w:ascii="Times New Roman" w:hAnsi="宋体" w:eastAsia="仿宋_GB2312"/>
          <w:sz w:val="32"/>
        </w:rPr>
        <w:tab/>
      </w:r>
      <w:r>
        <w:rPr>
          <w:rFonts w:ascii="Times New Roman" w:hAnsi="宋体" w:eastAsia="仿宋_GB2312"/>
          <w:sz w:val="32"/>
        </w:rPr>
        <w:t>B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hint="eastAsia" w:ascii="宋体" w:hAnsi="宋体" w:eastAsia="仿宋_GB2312" w:cs="宋体"/>
          <w:sz w:val="32"/>
        </w:rPr>
        <w:t>①</w:t>
      </w:r>
      <w:r>
        <w:rPr>
          <w:rFonts w:ascii="Times New Roman" w:hAnsi="宋体" w:eastAsia="仿宋_GB2312"/>
          <w:sz w:val="32"/>
        </w:rPr>
        <w:t>/</w:t>
      </w:r>
      <w:r>
        <w:rPr>
          <w:rFonts w:hint="eastAsia" w:ascii="宋体" w:hAnsi="宋体" w:eastAsia="仿宋_GB2312" w:cs="宋体"/>
          <w:sz w:val="32"/>
        </w:rPr>
        <w:t>②</w:t>
      </w:r>
      <w:r>
        <w:rPr>
          <w:rFonts w:ascii="Times New Roman" w:hAnsi="宋体" w:eastAsia="仿宋_GB2312"/>
          <w:sz w:val="32"/>
        </w:rPr>
        <w:t>/</w:t>
      </w:r>
      <w:r>
        <w:rPr>
          <w:rFonts w:hint="eastAsia" w:ascii="宋体" w:hAnsi="宋体" w:eastAsia="仿宋_GB2312" w:cs="宋体"/>
          <w:sz w:val="32"/>
        </w:rPr>
        <w:t>③④</w:t>
      </w:r>
      <w:r>
        <w:rPr>
          <w:rFonts w:ascii="Times New Roman" w:hAnsi="宋体" w:eastAsia="仿宋_GB2312"/>
          <w:sz w:val="32"/>
        </w:rPr>
        <w:t>/</w:t>
      </w:r>
      <w:r>
        <w:rPr>
          <w:rFonts w:hint="eastAsia" w:ascii="宋体" w:hAnsi="宋体" w:eastAsia="仿宋_GB2312" w:cs="宋体"/>
          <w:sz w:val="32"/>
        </w:rPr>
        <w:t>⑤</w:t>
      </w:r>
    </w:p>
    <w:p w14:paraId="74E54918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C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hint="eastAsia" w:ascii="宋体" w:hAnsi="宋体" w:eastAsia="仿宋_GB2312" w:cs="宋体"/>
          <w:sz w:val="32"/>
        </w:rPr>
        <w:t>①</w:t>
      </w:r>
      <w:r>
        <w:rPr>
          <w:rFonts w:ascii="Times New Roman" w:hAnsi="宋体" w:eastAsia="仿宋_GB2312"/>
          <w:sz w:val="32"/>
        </w:rPr>
        <w:t>/</w:t>
      </w:r>
      <w:r>
        <w:rPr>
          <w:rFonts w:hint="eastAsia" w:ascii="宋体" w:hAnsi="宋体" w:eastAsia="仿宋_GB2312" w:cs="宋体"/>
          <w:sz w:val="32"/>
        </w:rPr>
        <w:t>②③④⑤</w:t>
      </w:r>
      <w:r>
        <w:rPr>
          <w:rFonts w:ascii="Times New Roman" w:hAnsi="宋体" w:eastAsia="仿宋_GB2312"/>
          <w:sz w:val="32"/>
        </w:rPr>
        <w:tab/>
      </w:r>
      <w:r>
        <w:rPr>
          <w:rFonts w:ascii="Times New Roman" w:hAnsi="宋体" w:eastAsia="仿宋_GB2312"/>
          <w:sz w:val="32"/>
        </w:rPr>
        <w:t>D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hint="eastAsia" w:ascii="宋体" w:hAnsi="宋体" w:eastAsia="仿宋_GB2312" w:cs="宋体"/>
          <w:sz w:val="32"/>
        </w:rPr>
        <w:t>①⑤</w:t>
      </w:r>
      <w:r>
        <w:rPr>
          <w:rFonts w:ascii="Times New Roman" w:hAnsi="宋体" w:eastAsia="仿宋_GB2312"/>
          <w:sz w:val="32"/>
        </w:rPr>
        <w:t>/</w:t>
      </w:r>
      <w:r>
        <w:rPr>
          <w:rFonts w:hint="eastAsia" w:ascii="宋体" w:hAnsi="宋体" w:eastAsia="仿宋_GB2312" w:cs="宋体"/>
          <w:sz w:val="32"/>
        </w:rPr>
        <w:t>②③④</w:t>
      </w:r>
    </w:p>
    <w:p w14:paraId="6724BAFB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Times New Roman" w:eastAsia="仿宋_GB2312"/>
          <w:b/>
          <w:sz w:val="32"/>
        </w:rPr>
        <w:t>5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从文言文句式角度看,下列各组句子特点不相同的一项是(　　)</w:t>
      </w:r>
    </w:p>
    <w:p w14:paraId="3E7A6836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A</w:t>
      </w:r>
      <w:r>
        <w:rPr>
          <w:rFonts w:ascii="Times New Roman" w:hAnsi="Times New Roman" w:eastAsia="仿宋_GB2312" w:cs="Times New Roman"/>
          <w:sz w:val="32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仿宋_GB2312"/>
                <w:sz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仿宋_GB2312"/>
                    <w:sz w:val="32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宋体" w:eastAsia="仿宋_GB2312"/>
                      <w:b w:val="0"/>
                      <w:i w:val="0"/>
                      <w:sz w:val="32"/>
                      <w:szCs w:val="21"/>
                    </w:rPr>
                    <m:t>余威震于殊俗</m:t>
                  </m:r>
                  <m:ctrlPr>
                    <w:rPr>
                      <w:rFonts w:ascii="Cambria Math" w:hAnsi="Cambria Math" w:eastAsia="仿宋_GB2312"/>
                      <w:sz w:val="32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宋体" w:eastAsia="仿宋_GB2312"/>
                      <w:b w:val="0"/>
                      <w:i w:val="0"/>
                      <w:sz w:val="32"/>
                      <w:szCs w:val="21"/>
                    </w:rPr>
                    <m:t>申之以孝悌之义</m:t>
                  </m:r>
                  <m:ctrlPr>
                    <w:rPr>
                      <w:rFonts w:ascii="Cambria Math" w:hAnsi="Cambria Math" w:eastAsia="仿宋_GB2312"/>
                      <w:sz w:val="32"/>
                    </w:rPr>
                  </m:ctrlPr>
                </m:e>
              </m:mr>
            </m:m>
            <m:ctrlPr>
              <w:rPr>
                <w:rFonts w:ascii="Cambria Math" w:hAnsi="Cambria Math" w:eastAsia="仿宋_GB2312"/>
                <w:sz w:val="32"/>
              </w:rPr>
            </m:ctrlPr>
          </m:e>
        </m:d>
      </m:oMath>
      <w:r>
        <w:rPr>
          <w:rFonts w:ascii="Times New Roman" w:hAnsi="宋体" w:eastAsia="仿宋_GB2312"/>
          <w:sz w:val="32"/>
        </w:rPr>
        <w:tab/>
      </w:r>
      <w:r>
        <w:rPr>
          <w:rFonts w:hint="eastAsia" w:ascii="Times New Roman" w:hAnsi="宋体" w:eastAsia="仿宋_GB2312"/>
          <w:sz w:val="32"/>
          <w:lang w:val="en-US" w:eastAsia="zh-CN"/>
        </w:rPr>
        <w:t xml:space="preserve">        </w:t>
      </w:r>
      <w:r>
        <w:rPr>
          <w:rFonts w:ascii="Times New Roman" w:hAnsi="宋体" w:eastAsia="仿宋_GB2312"/>
          <w:sz w:val="32"/>
        </w:rPr>
        <w:t>B</w:t>
      </w:r>
      <w:r>
        <w:rPr>
          <w:rFonts w:ascii="Times New Roman" w:hAnsi="Times New Roman" w:eastAsia="仿宋_GB2312" w:cs="Times New Roman"/>
          <w:sz w:val="32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仿宋_GB2312"/>
                <w:sz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仿宋_GB2312"/>
                    <w:sz w:val="32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宋体" w:eastAsia="仿宋_GB2312"/>
                      <w:b w:val="0"/>
                      <w:i w:val="0"/>
                      <w:sz w:val="32"/>
                      <w:szCs w:val="21"/>
                    </w:rPr>
                    <m:t>聚之咸阳</m:t>
                  </m:r>
                  <m:ctrlPr>
                    <w:rPr>
                      <w:rFonts w:ascii="Cambria Math" w:hAnsi="Cambria Math" w:eastAsia="仿宋_GB2312"/>
                      <w:sz w:val="32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宋体" w:eastAsia="仿宋_GB2312"/>
                      <w:b w:val="0"/>
                      <w:i w:val="0"/>
                      <w:sz w:val="32"/>
                      <w:szCs w:val="21"/>
                    </w:rPr>
                    <m:t>未之有也</m:t>
                  </m:r>
                  <m:ctrlPr>
                    <w:rPr>
                      <w:rFonts w:ascii="Cambria Math" w:hAnsi="Cambria Math" w:eastAsia="仿宋_GB2312"/>
                      <w:sz w:val="32"/>
                    </w:rPr>
                  </m:ctrlPr>
                </m:e>
              </m:mr>
            </m:m>
            <m:ctrlPr>
              <w:rPr>
                <w:rFonts w:ascii="Cambria Math" w:hAnsi="Cambria Math" w:eastAsia="仿宋_GB2312"/>
                <w:sz w:val="32"/>
              </w:rPr>
            </m:ctrlPr>
          </m:e>
        </m:d>
      </m:oMath>
    </w:p>
    <w:p w14:paraId="7C90C0D6">
      <w:pPr>
        <w:keepNext w:val="0"/>
        <w:keepLines w:val="0"/>
        <w:pageBreakBefore w:val="0"/>
        <w:widowControl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C</w:t>
      </w:r>
      <w:r>
        <w:rPr>
          <w:rFonts w:ascii="Times New Roman" w:hAnsi="Times New Roman" w:eastAsia="仿宋_GB2312" w:cs="Times New Roman"/>
          <w:sz w:val="32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仿宋_GB2312"/>
                <w:sz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仿宋_GB2312"/>
                    <w:sz w:val="32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宋体" w:eastAsia="仿宋_GB2312"/>
                      <w:b w:val="0"/>
                      <w:i w:val="0"/>
                      <w:sz w:val="32"/>
                      <w:szCs w:val="21"/>
                    </w:rPr>
                    <m:t>为天下笑者,何也</m:t>
                  </m:r>
                  <m:ctrlPr>
                    <w:rPr>
                      <w:rFonts w:ascii="Cambria Math" w:hAnsi="Cambria Math" w:eastAsia="仿宋_GB2312"/>
                      <w:sz w:val="32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宋体" w:eastAsia="仿宋_GB2312"/>
                      <w:b w:val="0"/>
                      <w:i w:val="0"/>
                      <w:sz w:val="32"/>
                      <w:szCs w:val="21"/>
                    </w:rPr>
                    <m:t>是夕始觉有迁谪意</m:t>
                  </m:r>
                  <m:ctrlPr>
                    <w:rPr>
                      <w:rFonts w:ascii="Cambria Math" w:hAnsi="Cambria Math" w:eastAsia="仿宋_GB2312"/>
                      <w:sz w:val="32"/>
                    </w:rPr>
                  </m:ctrlPr>
                </m:e>
              </m:mr>
            </m:m>
            <m:ctrlPr>
              <w:rPr>
                <w:rFonts w:ascii="Cambria Math" w:hAnsi="Cambria Math" w:eastAsia="仿宋_GB2312"/>
                <w:sz w:val="32"/>
              </w:rPr>
            </m:ctrlPr>
          </m:e>
        </m:d>
      </m:oMath>
      <w:r>
        <w:rPr>
          <w:rFonts w:ascii="Times New Roman" w:hAnsi="宋体" w:eastAsia="仿宋_GB2312"/>
          <w:sz w:val="32"/>
        </w:rPr>
        <w:tab/>
      </w:r>
      <w:r>
        <w:rPr>
          <w:rFonts w:hint="eastAsia" w:ascii="Times New Roman" w:hAnsi="宋体" w:eastAsia="仿宋_GB2312"/>
          <w:sz w:val="32"/>
          <w:lang w:val="en-US" w:eastAsia="zh-CN"/>
        </w:rPr>
        <w:t xml:space="preserve">        </w:t>
      </w:r>
      <w:r>
        <w:rPr>
          <w:rFonts w:ascii="Times New Roman" w:hAnsi="宋体" w:eastAsia="仿宋_GB2312"/>
          <w:sz w:val="32"/>
        </w:rPr>
        <w:t>D</w:t>
      </w:r>
      <w:r>
        <w:rPr>
          <w:rFonts w:ascii="Times New Roman" w:hAnsi="Times New Roman" w:eastAsia="仿宋_GB2312" w:cs="Times New Roman"/>
          <w:sz w:val="32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仿宋_GB2312"/>
                <w:sz w:val="32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仿宋_GB2312"/>
                    <w:sz w:val="32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宋体" w:eastAsia="仿宋_GB2312"/>
                      <w:b w:val="0"/>
                      <w:i w:val="0"/>
                      <w:sz w:val="32"/>
                      <w:szCs w:val="21"/>
                    </w:rPr>
                    <m:t>铸以为金人十二</m:t>
                  </m:r>
                  <m:ctrlPr>
                    <w:rPr>
                      <w:rFonts w:ascii="Cambria Math" w:hAnsi="Cambria Math" w:eastAsia="仿宋_GB2312"/>
                      <w:sz w:val="32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Times New Roman" w:hAnsi="宋体" w:eastAsia="仿宋_GB2312"/>
                      <w:b w:val="0"/>
                      <w:i w:val="0"/>
                      <w:sz w:val="32"/>
                      <w:szCs w:val="21"/>
                    </w:rPr>
                    <m:t>蚓无爪牙之利</m:t>
                  </m:r>
                  <m:ctrlPr>
                    <w:rPr>
                      <w:rFonts w:ascii="Cambria Math" w:hAnsi="Cambria Math" w:eastAsia="仿宋_GB2312"/>
                      <w:sz w:val="32"/>
                    </w:rPr>
                  </m:ctrlPr>
                </m:e>
              </m:mr>
            </m:m>
            <m:ctrlPr>
              <w:rPr>
                <w:rFonts w:ascii="Cambria Math" w:hAnsi="Cambria Math" w:eastAsia="仿宋_GB2312"/>
                <w:sz w:val="32"/>
              </w:rPr>
            </m:ctrlPr>
          </m:e>
        </m:d>
      </m:oMath>
    </w:p>
    <w:p w14:paraId="4A51C37F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Times New Roman" w:eastAsia="仿宋_GB2312"/>
          <w:b/>
          <w:sz w:val="32"/>
        </w:rPr>
        <w:t>6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下列有关文化常识的表述,不正确的一项是(　　)</w:t>
      </w:r>
    </w:p>
    <w:p w14:paraId="0C52B228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A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阡陌,指田野上的小路,其中,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阡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指南北走向的小路,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陌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指东西走向的小路。课文中指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田野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。</w:t>
      </w:r>
    </w:p>
    <w:p w14:paraId="21E74201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B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陶朱,春秋时期越国的范蠡自称陶朱公,他因善于做生意而致富,后人常以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陶朱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为富人的代称。</w:t>
      </w:r>
    </w:p>
    <w:p w14:paraId="2BF7886E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C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黔首,秦朝对百姓的称呼,与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氓隶之人</w:t>
      </w:r>
      <w:r>
        <w:rPr>
          <w:rFonts w:ascii="Times New Roman" w:hAnsi="Times New Roman" w:eastAsia="仿宋_GB2312" w:cs="Times New Roman"/>
          <w:sz w:val="32"/>
        </w:rPr>
        <w:t>”“</w:t>
      </w:r>
      <w:r>
        <w:rPr>
          <w:rFonts w:ascii="Times New Roman" w:hAnsi="宋体" w:eastAsia="仿宋_GB2312"/>
          <w:sz w:val="32"/>
        </w:rPr>
        <w:t>迁徙之徒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意思相同,都指下层百姓。</w:t>
      </w:r>
    </w:p>
    <w:p w14:paraId="2B74DB91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D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七庙,本指四亲(高祖、曾祖、祖、父)庙、二祧(高祖的父亲和祖父)庙和始祖庙,后泛指古代天子的宗庙。</w:t>
      </w:r>
    </w:p>
    <w:p w14:paraId="1B83E225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Times New Roman" w:eastAsia="仿宋_GB2312"/>
          <w:b/>
          <w:sz w:val="32"/>
        </w:rPr>
        <w:t>7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补写出下列句子中的空缺部分。</w:t>
      </w:r>
    </w:p>
    <w:p w14:paraId="4EFB377A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(1)《过秦论》中描述秦朝灭亡过程的句子是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　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　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。 </w:t>
      </w:r>
    </w:p>
    <w:p w14:paraId="5A372BDD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(2)贾谊在《过秦论》中交代陈涉的身份,说他不过是个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,且是被迁徙的戍边的兵卒。 </w:t>
      </w:r>
    </w:p>
    <w:p w14:paraId="62D799B8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(3)《过秦论》中,秦始皇横扫天下之后,为了愚弄百姓、禁锢文化,竟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　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。 </w:t>
      </w:r>
    </w:p>
    <w:p w14:paraId="5670F730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(4)贾谊《过秦论》中,始皇派遣大将蒙恬北逐匈奴获得胜利,使得匈奴长时间不敢南下进击中原,文中的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就是对此事件效果的概括。 </w:t>
      </w:r>
    </w:p>
    <w:p w14:paraId="398EE4F5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(5)《过秦论》中,贾谊用比喻形象生动地写出陈涉起义后得到热烈响应的语句是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　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宋体" w:eastAsia="仿宋_GB2312"/>
          <w:color w:val="FF0000"/>
          <w:sz w:val="32"/>
          <w:u w:val="single" w:color="000000"/>
        </w:rPr>
        <w:t>　　　　　　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。 </w:t>
      </w:r>
    </w:p>
    <w:p w14:paraId="0776FA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3.课后拓展练习</w:t>
      </w:r>
    </w:p>
    <w:p w14:paraId="3768FADC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Times New Roman" w:hAnsi="宋体" w:eastAsia="仿宋_GB2312"/>
          <w:sz w:val="32"/>
        </w:rPr>
      </w:pPr>
      <w:r>
        <w:rPr>
          <w:rFonts w:ascii="Arial" w:hAnsi="黑体" w:eastAsia="仿宋_GB2312"/>
          <w:sz w:val="32"/>
        </w:rPr>
        <w:t>材料一</w:t>
      </w:r>
      <w:r>
        <w:rPr>
          <w:rFonts w:ascii="Times New Roman" w:hAnsi="宋体" w:eastAsia="仿宋_GB2312"/>
          <w:sz w:val="32"/>
        </w:rPr>
        <w:t>　</w:t>
      </w:r>
      <w:r>
        <w:rPr>
          <w:rFonts w:ascii="Times New Roman" w:hAnsi="楷体" w:eastAsia="仿宋_GB2312"/>
          <w:sz w:val="32"/>
        </w:rPr>
        <w:t>赞曰</w:t>
      </w:r>
      <w:r>
        <w:rPr>
          <w:rFonts w:ascii="Times New Roman" w:hAnsi="宋体" w:eastAsia="仿宋_GB2312"/>
          <w:sz w:val="32"/>
        </w:rPr>
        <w:t>:</w:t>
      </w:r>
      <w:r>
        <w:rPr>
          <w:rFonts w:ascii="Times New Roman" w:hAnsi="楷体" w:eastAsia="仿宋_GB2312"/>
          <w:sz w:val="32"/>
        </w:rPr>
        <w:t>刘向称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楷体" w:eastAsia="仿宋_GB2312"/>
          <w:sz w:val="32"/>
        </w:rPr>
        <w:t>贾谊言三代与秦治乱之意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其论甚美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通达国体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虽古之伊、管</w:t>
      </w:r>
      <w:r>
        <w:rPr>
          <w:rFonts w:hint="eastAsia" w:ascii="宋体" w:hAnsi="宋体" w:eastAsia="仿宋_GB2312" w:cs="宋体"/>
          <w:sz w:val="32"/>
          <w:vertAlign w:val="superscript"/>
        </w:rPr>
        <w:t>①</w:t>
      </w:r>
      <w:r>
        <w:rPr>
          <w:rFonts w:ascii="Times New Roman" w:hAnsi="楷体" w:eastAsia="仿宋_GB2312"/>
          <w:sz w:val="32"/>
        </w:rPr>
        <w:t>未能远过也。</w:t>
      </w:r>
      <w:r>
        <w:rPr>
          <w:rFonts w:ascii="Times New Roman" w:hAnsi="楷体" w:eastAsia="仿宋_GB2312"/>
          <w:sz w:val="32"/>
          <w:u w:val="wave" w:color="000000"/>
        </w:rPr>
        <w:t>使时见用功化必盛为庸臣所害甚可悼痛</w:t>
      </w:r>
      <w:r>
        <w:rPr>
          <w:rFonts w:ascii="Times New Roman" w:hAnsi="楷体" w:eastAsia="仿宋_GB2312"/>
          <w:sz w:val="32"/>
        </w:rPr>
        <w:t>。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楷体" w:eastAsia="仿宋_GB2312"/>
          <w:sz w:val="32"/>
        </w:rPr>
        <w:t>追观孝文玄默躬行以移风俗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谊之所陈略施行矣。及欲改定制度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以汉为土德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色上黄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数用五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及欲试</w:t>
      </w:r>
      <w:r>
        <w:rPr>
          <w:rFonts w:ascii="Times New Roman" w:hAnsi="楷体" w:eastAsia="仿宋_GB2312"/>
          <w:sz w:val="32"/>
          <w:em w:val="dot"/>
        </w:rPr>
        <w:t>属</w:t>
      </w:r>
      <w:r>
        <w:rPr>
          <w:rFonts w:ascii="Times New Roman" w:hAnsi="楷体" w:eastAsia="仿宋_GB2312"/>
          <w:sz w:val="32"/>
        </w:rPr>
        <w:t>国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施五饵三表以系单于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其术固以疏矣。谊亦天年早终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虽不至公卿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未为不遇也。</w:t>
      </w:r>
    </w:p>
    <w:p w14:paraId="541C2393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(</w:t>
      </w:r>
      <w:r>
        <w:rPr>
          <w:rFonts w:ascii="Times New Roman" w:hAnsi="楷体" w:eastAsia="仿宋_GB2312"/>
          <w:sz w:val="32"/>
        </w:rPr>
        <w:t>节选自班固《汉书</w:t>
      </w:r>
      <w:r>
        <w:rPr>
          <w:rFonts w:ascii="Times New Roman" w:hAnsi="Times New Roman" w:eastAsia="仿宋_GB2312" w:cs="Times New Roman"/>
          <w:sz w:val="32"/>
        </w:rPr>
        <w:t>·</w:t>
      </w:r>
      <w:r>
        <w:rPr>
          <w:rFonts w:ascii="Times New Roman" w:hAnsi="楷体" w:eastAsia="仿宋_GB2312"/>
          <w:sz w:val="32"/>
        </w:rPr>
        <w:t>贾谊传》</w:t>
      </w:r>
      <w:r>
        <w:rPr>
          <w:rFonts w:ascii="Times New Roman" w:hAnsi="宋体" w:eastAsia="仿宋_GB2312"/>
          <w:sz w:val="32"/>
        </w:rPr>
        <w:t>)</w:t>
      </w:r>
    </w:p>
    <w:p w14:paraId="2BFA4966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Times New Roman" w:hAnsi="宋体" w:eastAsia="仿宋_GB2312"/>
          <w:sz w:val="32"/>
        </w:rPr>
      </w:pPr>
      <w:r>
        <w:rPr>
          <w:rFonts w:ascii="Arial" w:hAnsi="黑体" w:eastAsia="仿宋_GB2312"/>
          <w:sz w:val="32"/>
        </w:rPr>
        <w:t>材料二</w:t>
      </w:r>
      <w:r>
        <w:rPr>
          <w:rFonts w:ascii="Times New Roman" w:hAnsi="宋体" w:eastAsia="仿宋_GB2312"/>
          <w:sz w:val="32"/>
        </w:rPr>
        <w:t>　(</w:t>
      </w:r>
      <w:r>
        <w:rPr>
          <w:rFonts w:ascii="Times New Roman" w:hAnsi="楷体" w:eastAsia="仿宋_GB2312"/>
          <w:sz w:val="32"/>
        </w:rPr>
        <w:t>贾谊</w:t>
      </w:r>
      <w:r>
        <w:rPr>
          <w:rFonts w:ascii="Times New Roman" w:hAnsi="宋体" w:eastAsia="仿宋_GB2312"/>
          <w:sz w:val="32"/>
        </w:rPr>
        <w:t>)</w:t>
      </w:r>
      <w:r>
        <w:rPr>
          <w:rFonts w:ascii="Times New Roman" w:hAnsi="楷体" w:eastAsia="仿宋_GB2312"/>
          <w:sz w:val="32"/>
        </w:rPr>
        <w:t>其高足以凌青云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抗太虚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而不入于诡诞</w:t>
      </w:r>
      <w:r>
        <w:rPr>
          <w:rFonts w:ascii="Times New Roman" w:hAnsi="宋体" w:eastAsia="仿宋_GB2312"/>
          <w:sz w:val="32"/>
        </w:rPr>
        <w:t>;</w:t>
      </w:r>
      <w:r>
        <w:rPr>
          <w:rFonts w:ascii="Times New Roman" w:hAnsi="楷体" w:eastAsia="仿宋_GB2312"/>
          <w:sz w:val="32"/>
        </w:rPr>
        <w:t>其下足以尽山川草木之理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形状变化之情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而不入于卑污。及其事多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而忧深虑远之激扞有触于吾心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而干于吾气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故其言多而出于无聊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读之有忧愁不忍之态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然其气要以为无伤也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于是又自喜其无入而不宜矣。使予位之朝廷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视天子所以措置指画号令天下之意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作之训辞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镂之金石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以传太平无</w:t>
      </w:r>
      <w:r>
        <w:rPr>
          <w:rFonts w:ascii="Times New Roman" w:hAnsi="楷体" w:eastAsia="仿宋_GB2312"/>
          <w:sz w:val="32"/>
          <w:em w:val="dot"/>
        </w:rPr>
        <w:t>穷</w:t>
      </w:r>
      <w:r>
        <w:rPr>
          <w:rFonts w:ascii="Times New Roman" w:hAnsi="楷体" w:eastAsia="仿宋_GB2312"/>
          <w:sz w:val="32"/>
        </w:rPr>
        <w:t>之业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盖未必不有可观者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遇其所感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寓其所志</w:t>
      </w:r>
      <w:r>
        <w:rPr>
          <w:rFonts w:ascii="Times New Roman" w:hAnsi="宋体" w:eastAsia="仿宋_GB2312"/>
          <w:sz w:val="32"/>
        </w:rPr>
        <w:t>,</w:t>
      </w:r>
      <w:r>
        <w:rPr>
          <w:rFonts w:ascii="Times New Roman" w:hAnsi="楷体" w:eastAsia="仿宋_GB2312"/>
          <w:sz w:val="32"/>
        </w:rPr>
        <w:t>则自以为皆无伤也。</w:t>
      </w:r>
    </w:p>
    <w:p w14:paraId="282F83E5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Times New Roman" w:hAnsi="宋体" w:eastAsia="仿宋_GB2312"/>
          <w:color w:val="auto"/>
          <w:sz w:val="32"/>
        </w:rPr>
      </w:pPr>
      <w:r>
        <w:rPr>
          <w:rFonts w:ascii="Times New Roman" w:hAnsi="楷体" w:eastAsia="仿宋_GB2312"/>
          <w:color w:val="auto"/>
          <w:sz w:val="32"/>
        </w:rPr>
        <w:t>余悲贾生之不遇。观其为文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经画天下之便宜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足以见其康天下之心。观其过湘为赋以</w:t>
      </w:r>
      <w:r>
        <w:rPr>
          <w:rFonts w:ascii="Times New Roman" w:hAnsi="楷体" w:eastAsia="仿宋_GB2312"/>
          <w:color w:val="auto"/>
          <w:sz w:val="32"/>
          <w:em w:val="dot"/>
        </w:rPr>
        <w:t>吊</w:t>
      </w:r>
      <w:r>
        <w:rPr>
          <w:rFonts w:ascii="Times New Roman" w:hAnsi="楷体" w:eastAsia="仿宋_GB2312"/>
          <w:color w:val="auto"/>
          <w:sz w:val="32"/>
        </w:rPr>
        <w:t>屈原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足以见其悯时忧国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而有触于其气。后之人责其一不遇而为是忧怨之言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乃不知古诗之作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皆古穷人之辞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要之不悖于道义者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皆可取也。贾生少年多才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见文帝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极陈天下之事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毅然无所阿避。而绛、灌</w:t>
      </w:r>
      <w:r>
        <w:rPr>
          <w:rFonts w:hint="eastAsia" w:ascii="宋体" w:hAnsi="宋体" w:eastAsia="仿宋_GB2312" w:cs="宋体"/>
          <w:color w:val="auto"/>
          <w:sz w:val="32"/>
          <w:vertAlign w:val="superscript"/>
        </w:rPr>
        <w:t>②</w:t>
      </w:r>
      <w:r>
        <w:rPr>
          <w:rFonts w:ascii="Times New Roman" w:hAnsi="楷体" w:eastAsia="仿宋_GB2312"/>
          <w:color w:val="auto"/>
          <w:sz w:val="32"/>
        </w:rPr>
        <w:t>之武夫相遭于朝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  <w:u w:val="single" w:color="000000"/>
        </w:rPr>
        <w:t>譬之投规于矩</w:t>
      </w:r>
      <w:r>
        <w:rPr>
          <w:rFonts w:ascii="Times New Roman" w:hAnsi="宋体" w:eastAsia="仿宋_GB2312"/>
          <w:color w:val="auto"/>
          <w:sz w:val="32"/>
          <w:u w:val="single" w:color="000000"/>
        </w:rPr>
        <w:t>,</w:t>
      </w:r>
      <w:r>
        <w:rPr>
          <w:rFonts w:ascii="Times New Roman" w:hAnsi="楷体" w:eastAsia="仿宋_GB2312"/>
          <w:color w:val="auto"/>
          <w:sz w:val="32"/>
          <w:u w:val="single" w:color="000000"/>
        </w:rPr>
        <w:t>虽强之不合</w:t>
      </w:r>
      <w:r>
        <w:rPr>
          <w:rFonts w:ascii="Times New Roman" w:hAnsi="宋体" w:eastAsia="仿宋_GB2312"/>
          <w:color w:val="auto"/>
          <w:sz w:val="32"/>
          <w:u w:val="single" w:color="000000"/>
        </w:rPr>
        <w:t>,</w:t>
      </w:r>
      <w:r>
        <w:rPr>
          <w:rFonts w:ascii="Times New Roman" w:hAnsi="楷体" w:eastAsia="仿宋_GB2312"/>
          <w:color w:val="auto"/>
          <w:sz w:val="32"/>
          <w:u w:val="single" w:color="000000"/>
        </w:rPr>
        <w:t>故斥去。</w:t>
      </w:r>
      <w:r>
        <w:rPr>
          <w:rFonts w:ascii="Times New Roman" w:hAnsi="楷体" w:eastAsia="仿宋_GB2312"/>
          <w:color w:val="auto"/>
          <w:sz w:val="32"/>
        </w:rPr>
        <w:t>不得</w:t>
      </w:r>
      <w:r>
        <w:rPr>
          <w:rFonts w:ascii="Times New Roman" w:hAnsi="楷体" w:eastAsia="仿宋_GB2312"/>
          <w:color w:val="auto"/>
          <w:sz w:val="32"/>
          <w:em w:val="dot"/>
        </w:rPr>
        <w:t>与</w:t>
      </w:r>
      <w:r>
        <w:rPr>
          <w:rFonts w:ascii="Times New Roman" w:hAnsi="楷体" w:eastAsia="仿宋_GB2312"/>
          <w:color w:val="auto"/>
          <w:sz w:val="32"/>
        </w:rPr>
        <w:t>闻朝廷之事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以奋其中之所欲言。彼其不发于一时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犹可托文以摅其蕴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则夫贾生之志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其亦可罪耶</w:t>
      </w:r>
      <w:r>
        <w:rPr>
          <w:rFonts w:ascii="Times New Roman" w:hAnsi="宋体" w:eastAsia="仿宋_GB2312"/>
          <w:color w:val="auto"/>
          <w:sz w:val="32"/>
        </w:rPr>
        <w:t>?</w:t>
      </w:r>
      <w:r>
        <w:rPr>
          <w:rFonts w:ascii="Times New Roman" w:hAnsi="楷体" w:eastAsia="仿宋_GB2312"/>
          <w:color w:val="auto"/>
          <w:sz w:val="32"/>
        </w:rPr>
        <w:t>故予之穷饿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足以知人之穷者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亦必若此。又尝学文章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而知穷人之辞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自古皆然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是以于贾生少进焉。呜呼</w:t>
      </w:r>
      <w:r>
        <w:rPr>
          <w:rFonts w:ascii="Times New Roman" w:hAnsi="宋体" w:eastAsia="仿宋_GB2312"/>
          <w:color w:val="auto"/>
          <w:sz w:val="32"/>
        </w:rPr>
        <w:t>!</w:t>
      </w:r>
      <w:r>
        <w:rPr>
          <w:rFonts w:ascii="Times New Roman" w:hAnsi="楷体" w:eastAsia="仿宋_GB2312"/>
          <w:color w:val="auto"/>
          <w:sz w:val="32"/>
          <w:u w:val="single" w:color="000000"/>
        </w:rPr>
        <w:t>使贾生卒其所施</w:t>
      </w:r>
      <w:r>
        <w:rPr>
          <w:rFonts w:ascii="Times New Roman" w:hAnsi="宋体" w:eastAsia="仿宋_GB2312"/>
          <w:color w:val="auto"/>
          <w:sz w:val="32"/>
          <w:u w:val="single" w:color="000000"/>
        </w:rPr>
        <w:t>,</w:t>
      </w:r>
      <w:r>
        <w:rPr>
          <w:rFonts w:ascii="Times New Roman" w:hAnsi="楷体" w:eastAsia="仿宋_GB2312"/>
          <w:color w:val="auto"/>
          <w:sz w:val="32"/>
          <w:u w:val="single" w:color="000000"/>
        </w:rPr>
        <w:t>为其功业</w:t>
      </w:r>
      <w:r>
        <w:rPr>
          <w:rFonts w:ascii="Times New Roman" w:hAnsi="宋体" w:eastAsia="仿宋_GB2312"/>
          <w:color w:val="auto"/>
          <w:sz w:val="32"/>
          <w:u w:val="single" w:color="000000"/>
        </w:rPr>
        <w:t>,</w:t>
      </w:r>
      <w:r>
        <w:rPr>
          <w:rFonts w:ascii="Times New Roman" w:hAnsi="楷体" w:eastAsia="仿宋_GB2312"/>
          <w:color w:val="auto"/>
          <w:sz w:val="32"/>
          <w:u w:val="single" w:color="000000"/>
        </w:rPr>
        <w:t>宜有可述者</w:t>
      </w:r>
      <w:r>
        <w:rPr>
          <w:rFonts w:ascii="Times New Roman" w:hAnsi="宋体" w:eastAsia="仿宋_GB2312"/>
          <w:color w:val="auto"/>
          <w:sz w:val="32"/>
          <w:u w:val="single" w:color="000000"/>
        </w:rPr>
        <w:t>,</w:t>
      </w:r>
      <w:r>
        <w:rPr>
          <w:rFonts w:ascii="Times New Roman" w:hAnsi="楷体" w:eastAsia="仿宋_GB2312"/>
          <w:color w:val="auto"/>
          <w:sz w:val="32"/>
          <w:u w:val="single" w:color="000000"/>
        </w:rPr>
        <w:t>又岂空言以道之哉</w:t>
      </w:r>
      <w:r>
        <w:rPr>
          <w:rFonts w:ascii="Times New Roman" w:hAnsi="宋体" w:eastAsia="仿宋_GB2312"/>
          <w:color w:val="auto"/>
          <w:sz w:val="32"/>
          <w:u w:val="single" w:color="000000"/>
        </w:rPr>
        <w:t>?</w:t>
      </w:r>
      <w:r>
        <w:rPr>
          <w:rFonts w:ascii="Times New Roman" w:hAnsi="楷体" w:eastAsia="仿宋_GB2312"/>
          <w:color w:val="auto"/>
          <w:sz w:val="32"/>
        </w:rPr>
        <w:t>予之所以自悲者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亦若此。然世之知者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其谁欤</w:t>
      </w:r>
      <w:r>
        <w:rPr>
          <w:rFonts w:ascii="Times New Roman" w:hAnsi="宋体" w:eastAsia="仿宋_GB2312"/>
          <w:color w:val="auto"/>
          <w:sz w:val="32"/>
        </w:rPr>
        <w:t>?</w:t>
      </w:r>
      <w:r>
        <w:rPr>
          <w:rFonts w:ascii="Times New Roman" w:hAnsi="楷体" w:eastAsia="仿宋_GB2312"/>
          <w:color w:val="auto"/>
          <w:sz w:val="32"/>
        </w:rPr>
        <w:t>虽不吾知</w:t>
      </w:r>
      <w:r>
        <w:rPr>
          <w:rFonts w:ascii="Times New Roman" w:hAnsi="宋体" w:eastAsia="仿宋_GB2312"/>
          <w:color w:val="auto"/>
          <w:sz w:val="32"/>
        </w:rPr>
        <w:t>,</w:t>
      </w:r>
      <w:r>
        <w:rPr>
          <w:rFonts w:ascii="Times New Roman" w:hAnsi="楷体" w:eastAsia="仿宋_GB2312"/>
          <w:color w:val="auto"/>
          <w:sz w:val="32"/>
        </w:rPr>
        <w:t>谁患耶</w:t>
      </w:r>
      <w:r>
        <w:rPr>
          <w:rFonts w:ascii="Times New Roman" w:hAnsi="宋体" w:eastAsia="仿宋_GB2312"/>
          <w:color w:val="auto"/>
          <w:sz w:val="32"/>
        </w:rPr>
        <w:t>!</w:t>
      </w:r>
    </w:p>
    <w:p w14:paraId="05E0EFCB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ascii="Times New Roman" w:hAnsi="宋体" w:eastAsia="仿宋_GB2312"/>
          <w:color w:val="auto"/>
          <w:sz w:val="32"/>
        </w:rPr>
      </w:pPr>
      <w:r>
        <w:rPr>
          <w:rFonts w:ascii="Times New Roman" w:hAnsi="宋体" w:eastAsia="仿宋_GB2312"/>
          <w:color w:val="auto"/>
          <w:sz w:val="32"/>
        </w:rPr>
        <w:t>(</w:t>
      </w:r>
      <w:r>
        <w:rPr>
          <w:rFonts w:ascii="Times New Roman" w:hAnsi="楷体" w:eastAsia="仿宋_GB2312"/>
          <w:color w:val="auto"/>
          <w:sz w:val="32"/>
        </w:rPr>
        <w:t>节选自曾巩《读贾谊传》</w:t>
      </w:r>
      <w:r>
        <w:rPr>
          <w:rFonts w:ascii="Times New Roman" w:hAnsi="宋体" w:eastAsia="仿宋_GB2312"/>
          <w:color w:val="auto"/>
          <w:sz w:val="32"/>
        </w:rPr>
        <w:t>)</w:t>
      </w:r>
    </w:p>
    <w:p w14:paraId="76F99B44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Arial" w:hAnsi="黑体" w:eastAsia="仿宋_GB2312"/>
          <w:sz w:val="32"/>
          <w:bdr w:val="single" w:color="000000" w:sz="4" w:space="0"/>
          <w:shd w:val="solid" w:color="E1E1E1" w:fill="auto"/>
        </w:rPr>
        <w:t>注</w:t>
      </w:r>
      <w:r>
        <w:rPr>
          <w:rFonts w:hint="eastAsia" w:ascii="宋体" w:hAnsi="宋体" w:eastAsia="仿宋_GB2312" w:cs="宋体"/>
          <w:sz w:val="32"/>
        </w:rPr>
        <w:t>①</w:t>
      </w:r>
      <w:r>
        <w:rPr>
          <w:rFonts w:ascii="Times New Roman" w:hAnsi="宋体" w:eastAsia="仿宋_GB2312"/>
          <w:sz w:val="32"/>
        </w:rPr>
        <w:t>伊、管:伊尹、管仲,均为贤相。</w:t>
      </w:r>
      <w:r>
        <w:rPr>
          <w:rFonts w:hint="eastAsia" w:ascii="宋体" w:hAnsi="宋体" w:eastAsia="仿宋_GB2312" w:cs="宋体"/>
          <w:sz w:val="32"/>
        </w:rPr>
        <w:t>②</w:t>
      </w:r>
      <w:r>
        <w:rPr>
          <w:rFonts w:ascii="Times New Roman" w:hAnsi="宋体" w:eastAsia="仿宋_GB2312"/>
          <w:sz w:val="32"/>
        </w:rPr>
        <w:t>绛、灌:汉绛侯周勃与颍阴侯灌婴。均佐汉高祖定天下,建功封侯。二人起自布衣,鄙朴无文,曾谗嫉陈平、贾谊等。</w:t>
      </w:r>
    </w:p>
    <w:p w14:paraId="338583E4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hint="eastAsia" w:ascii="Times New Roman" w:hAnsi="Times New Roman" w:eastAsia="仿宋_GB2312"/>
          <w:b/>
          <w:sz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材料一画波浪线的部分有三处需要断句,请选出正确的答案标号(　　　　　　)</w:t>
      </w:r>
    </w:p>
    <w:p w14:paraId="1562EE82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楷体" w:eastAsia="仿宋_GB2312"/>
          <w:sz w:val="32"/>
        </w:rPr>
        <w:t>使时</w:t>
      </w:r>
      <w:r>
        <w:rPr>
          <w:rFonts w:ascii="Times New Roman" w:hAnsi="宋体" w:eastAsia="仿宋_GB2312"/>
          <w:sz w:val="32"/>
          <w:bdr w:val="single" w:color="000000" w:sz="4" w:space="0"/>
        </w:rPr>
        <w:t>A</w:t>
      </w:r>
      <w:r>
        <w:rPr>
          <w:rFonts w:ascii="Times New Roman" w:hAnsi="楷体" w:eastAsia="仿宋_GB2312"/>
          <w:sz w:val="32"/>
        </w:rPr>
        <w:t>见</w:t>
      </w:r>
      <w:r>
        <w:rPr>
          <w:rFonts w:ascii="Times New Roman" w:hAnsi="宋体" w:eastAsia="仿宋_GB2312"/>
          <w:sz w:val="32"/>
          <w:bdr w:val="single" w:color="000000" w:sz="4" w:space="0"/>
        </w:rPr>
        <w:t>B</w:t>
      </w:r>
      <w:r>
        <w:rPr>
          <w:rFonts w:ascii="Times New Roman" w:hAnsi="楷体" w:eastAsia="仿宋_GB2312"/>
          <w:sz w:val="32"/>
        </w:rPr>
        <w:t>用</w:t>
      </w:r>
      <w:r>
        <w:rPr>
          <w:rFonts w:ascii="Times New Roman" w:hAnsi="宋体" w:eastAsia="仿宋_GB2312"/>
          <w:sz w:val="32"/>
          <w:bdr w:val="single" w:color="000000" w:sz="4" w:space="0"/>
        </w:rPr>
        <w:t>C</w:t>
      </w:r>
      <w:r>
        <w:rPr>
          <w:rFonts w:ascii="Times New Roman" w:hAnsi="楷体" w:eastAsia="仿宋_GB2312"/>
          <w:sz w:val="32"/>
        </w:rPr>
        <w:t>功</w:t>
      </w:r>
      <w:r>
        <w:rPr>
          <w:rFonts w:ascii="Times New Roman" w:hAnsi="宋体" w:eastAsia="仿宋_GB2312"/>
          <w:sz w:val="32"/>
          <w:bdr w:val="single" w:color="000000" w:sz="4" w:space="0"/>
        </w:rPr>
        <w:t>D</w:t>
      </w:r>
      <w:r>
        <w:rPr>
          <w:rFonts w:ascii="Times New Roman" w:hAnsi="楷体" w:eastAsia="仿宋_GB2312"/>
          <w:sz w:val="32"/>
        </w:rPr>
        <w:t>化必盛</w:t>
      </w:r>
      <w:r>
        <w:rPr>
          <w:rFonts w:ascii="Times New Roman" w:hAnsi="宋体" w:eastAsia="仿宋_GB2312"/>
          <w:sz w:val="32"/>
          <w:bdr w:val="single" w:color="000000" w:sz="4" w:space="0"/>
        </w:rPr>
        <w:t>E</w:t>
      </w:r>
      <w:r>
        <w:rPr>
          <w:rFonts w:ascii="Times New Roman" w:hAnsi="楷体" w:eastAsia="仿宋_GB2312"/>
          <w:sz w:val="32"/>
        </w:rPr>
        <w:t>为庸臣</w:t>
      </w:r>
      <w:r>
        <w:rPr>
          <w:rFonts w:ascii="Times New Roman" w:hAnsi="宋体" w:eastAsia="仿宋_GB2312"/>
          <w:sz w:val="32"/>
          <w:bdr w:val="single" w:color="000000" w:sz="4" w:space="0"/>
        </w:rPr>
        <w:t>F</w:t>
      </w:r>
      <w:r>
        <w:rPr>
          <w:rFonts w:ascii="Times New Roman" w:hAnsi="楷体" w:eastAsia="仿宋_GB2312"/>
          <w:sz w:val="32"/>
        </w:rPr>
        <w:t>所害</w:t>
      </w:r>
      <w:r>
        <w:rPr>
          <w:rFonts w:ascii="Times New Roman" w:hAnsi="宋体" w:eastAsia="仿宋_GB2312"/>
          <w:sz w:val="32"/>
          <w:bdr w:val="single" w:color="000000" w:sz="4" w:space="0"/>
        </w:rPr>
        <w:t>G</w:t>
      </w:r>
      <w:r>
        <w:rPr>
          <w:rFonts w:ascii="Times New Roman" w:hAnsi="楷体" w:eastAsia="仿宋_GB2312"/>
          <w:sz w:val="32"/>
        </w:rPr>
        <w:t>甚</w:t>
      </w:r>
      <w:r>
        <w:rPr>
          <w:rFonts w:ascii="Times New Roman" w:hAnsi="宋体" w:eastAsia="仿宋_GB2312"/>
          <w:sz w:val="32"/>
          <w:bdr w:val="single" w:color="000000" w:sz="4" w:space="0"/>
        </w:rPr>
        <w:t>H</w:t>
      </w:r>
      <w:r>
        <w:rPr>
          <w:rFonts w:ascii="Times New Roman" w:hAnsi="楷体" w:eastAsia="仿宋_GB2312"/>
          <w:sz w:val="32"/>
        </w:rPr>
        <w:t>可悼痛</w:t>
      </w:r>
    </w:p>
    <w:p w14:paraId="53F6C8C2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hint="eastAsia" w:ascii="Times New Roman" w:hAnsi="Times New Roman" w:eastAsia="仿宋_GB2312"/>
          <w:b/>
          <w:sz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下列对材料中加点的词语及相关内容的解说,不正确的一项是(　　)</w:t>
      </w:r>
    </w:p>
    <w:p w14:paraId="34282EE0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A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属,指隶属,《屈原列传》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屈平属草稿未定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的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属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表示撰写,两者用法不相同。</w:t>
      </w:r>
    </w:p>
    <w:p w14:paraId="509AA36E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B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穷,指困窘没有出路,与《屈原列传》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人穷则反本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中的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穷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词义相同。</w:t>
      </w:r>
    </w:p>
    <w:p w14:paraId="1C23BB6B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C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吊,指凭吊,与《屈原列传》中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及见贾生吊之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中的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吊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字词义相同。</w:t>
      </w:r>
    </w:p>
    <w:p w14:paraId="4931B992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D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与,指参与,《六国论》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与嬴而不助五国也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的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与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指亲附、结交,两者词义不相同。</w:t>
      </w:r>
    </w:p>
    <w:p w14:paraId="7FBFE7B8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hint="eastAsia" w:ascii="Times New Roman" w:hAnsi="Times New Roman" w:eastAsia="仿宋_GB2312"/>
          <w:b/>
          <w:sz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下列对材料有关内容的概述,不正确的一项是(　　)</w:t>
      </w:r>
    </w:p>
    <w:p w14:paraId="06BC0E4B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A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刘向评价贾谊论述前世治乱之意合理得体,通晓典章制度,才能超过了伊尹和管仲。</w:t>
      </w:r>
    </w:p>
    <w:p w14:paraId="0F1E8808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B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后世之人认为贾谊在他的文章里写了很多忧愁怨恨的言辞,最终使他不被朝廷重用。</w:t>
      </w:r>
    </w:p>
    <w:p w14:paraId="21E32B44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C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在曾巩看来,古时的诗文多为困窘之人所写,只要总的来说不违背道义的,都可以取用。</w:t>
      </w:r>
    </w:p>
    <w:p w14:paraId="0A405630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D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曾巩认为贾谊有经营治理天下之才华,又有安定天下的决心,还赞扬他为人正直不阿。</w:t>
      </w:r>
    </w:p>
    <w:p w14:paraId="3836E32C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hint="eastAsia" w:ascii="Times New Roman" w:hAnsi="Times New Roman" w:eastAsia="仿宋_GB2312"/>
          <w:b/>
          <w:sz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把材料中画横线的句子翻译成现代汉语。</w:t>
      </w:r>
    </w:p>
    <w:p w14:paraId="404CEC53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(1)譬之投规于矩,虽强之不合,故斥去。</w:t>
      </w:r>
    </w:p>
    <w:p w14:paraId="616BDC9D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</w:p>
    <w:p w14:paraId="646D3099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</w:p>
    <w:p w14:paraId="70FE56ED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ascii="Times New Roman" w:hAnsi="宋体" w:eastAsia="仿宋_GB2312"/>
          <w:sz w:val="32"/>
        </w:rPr>
        <w:t>(2)使贾生卒其所施,为其功业,宜有可述者,又岂空言以道之哉?</w:t>
      </w:r>
    </w:p>
    <w:p w14:paraId="467EB36A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</w:p>
    <w:p w14:paraId="171C1C83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</w:p>
    <w:p w14:paraId="4F0DE2B8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  <w:r>
        <w:rPr>
          <w:rFonts w:hint="eastAsia" w:ascii="Times New Roman" w:hAnsi="Times New Roman" w:eastAsia="仿宋_GB2312"/>
          <w:b/>
          <w:sz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</w:rPr>
        <w:t>.</w:t>
      </w:r>
      <w:r>
        <w:rPr>
          <w:rFonts w:ascii="Times New Roman" w:hAnsi="宋体" w:eastAsia="仿宋_GB2312"/>
          <w:sz w:val="32"/>
        </w:rPr>
        <w:t>简要概括班固认为贾谊</w:t>
      </w:r>
      <w:r>
        <w:rPr>
          <w:rFonts w:ascii="Times New Roman" w:hAnsi="Times New Roman" w:eastAsia="仿宋_GB2312" w:cs="Times New Roman"/>
          <w:sz w:val="32"/>
        </w:rPr>
        <w:t>“</w:t>
      </w:r>
      <w:r>
        <w:rPr>
          <w:rFonts w:ascii="Times New Roman" w:hAnsi="宋体" w:eastAsia="仿宋_GB2312"/>
          <w:sz w:val="32"/>
        </w:rPr>
        <w:t>未为不遇</w:t>
      </w:r>
      <w:r>
        <w:rPr>
          <w:rFonts w:ascii="Times New Roman" w:hAnsi="Times New Roman" w:eastAsia="仿宋_GB2312" w:cs="Times New Roman"/>
          <w:sz w:val="32"/>
        </w:rPr>
        <w:t>”</w:t>
      </w:r>
      <w:r>
        <w:rPr>
          <w:rFonts w:ascii="Times New Roman" w:hAnsi="宋体" w:eastAsia="仿宋_GB2312"/>
          <w:sz w:val="32"/>
        </w:rPr>
        <w:t>的依据是什么。</w:t>
      </w:r>
    </w:p>
    <w:p w14:paraId="259632F1">
      <w:pPr>
        <w:keepNext w:val="0"/>
        <w:keepLines w:val="0"/>
        <w:pageBreakBefore w:val="0"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Times New Roman" w:hAnsi="宋体" w:eastAsia="仿宋_GB2312"/>
          <w:sz w:val="32"/>
        </w:rPr>
      </w:pPr>
    </w:p>
    <w:p w14:paraId="5FE8E3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eastAsia="仿宋_GB2312"/>
          <w:sz w:val="32"/>
        </w:rPr>
      </w:pPr>
    </w:p>
    <w:p w14:paraId="3CE41C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eastAsia="仿宋_GB2312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800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AF61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291CE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291CE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3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 xml:space="preserve">横峰中学学生课堂导学训案（英语）  编号：hfzx高二  </w:t>
    </w:r>
    <w:bookmarkStart w:id="0" w:name="_GoBack"/>
    <w:bookmarkEnd w:id="0"/>
    <w:r>
      <w:rPr>
        <w:rFonts w:hint="eastAsia"/>
        <w:sz w:val="18"/>
        <w:szCs w:val="18"/>
        <w:lang w:val="en-US" w:eastAsia="zh-CN"/>
      </w:rPr>
      <w:t>使用时间:2024-12 编写人：桂艳红 审核人：邓建明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E5E07"/>
    <w:multiLevelType w:val="singleLevel"/>
    <w:tmpl w:val="0D3E5E0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0Y2IwOWNkYjY0NjY3MWQ4ZDZlYjViMjI4Y2Y4NDIifQ=="/>
  </w:docVars>
  <w:rsids>
    <w:rsidRoot w:val="00000000"/>
    <w:rsid w:val="06BA455D"/>
    <w:rsid w:val="07F80A90"/>
    <w:rsid w:val="1C3D0D21"/>
    <w:rsid w:val="1DA123A3"/>
    <w:rsid w:val="1E1F612F"/>
    <w:rsid w:val="207672EF"/>
    <w:rsid w:val="28BA05A4"/>
    <w:rsid w:val="2E3D36F6"/>
    <w:rsid w:val="32E4458C"/>
    <w:rsid w:val="3FD23880"/>
    <w:rsid w:val="44C111E9"/>
    <w:rsid w:val="63B607F2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2573</Words>
  <Characters>2647</Characters>
  <Lines>0</Lines>
  <Paragraphs>0</Paragraphs>
  <TotalTime>3</TotalTime>
  <ScaleCrop>false</ScaleCrop>
  <LinksUpToDate>false</LinksUpToDate>
  <CharactersWithSpaces>2784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2024-11-19T01:38:26Z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B3CCE65F3AA14195BB4C246ED09FB50F_12</vt:lpwstr>
  </property>
</Properties>
</file>